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AB64" w14:textId="3463AF5F" w:rsidR="00750B02" w:rsidRDefault="00750B02">
      <w:r>
        <w:t>21 April 2023</w:t>
      </w:r>
    </w:p>
    <w:p w14:paraId="43CC7D74" w14:textId="77777777" w:rsidR="00750B02" w:rsidRDefault="00750B02"/>
    <w:p w14:paraId="6AE36A8A" w14:textId="7E5BCF1A" w:rsidR="00750B02" w:rsidRPr="00C43AD9" w:rsidRDefault="00750B02">
      <w:pPr>
        <w:rPr>
          <w:sz w:val="28"/>
          <w:szCs w:val="28"/>
        </w:rPr>
      </w:pPr>
      <w:r w:rsidRPr="00C43AD9">
        <w:rPr>
          <w:b/>
          <w:bCs/>
          <w:sz w:val="28"/>
          <w:szCs w:val="28"/>
        </w:rPr>
        <w:t xml:space="preserve">Submission </w:t>
      </w:r>
      <w:r w:rsidR="00C43AD9" w:rsidRPr="00C43AD9">
        <w:rPr>
          <w:b/>
          <w:bCs/>
          <w:sz w:val="28"/>
          <w:szCs w:val="28"/>
        </w:rPr>
        <w:t>from the Dunedin Symphony Orchestra (DSO)</w:t>
      </w:r>
      <w:r w:rsidR="00C43AD9">
        <w:rPr>
          <w:b/>
          <w:bCs/>
          <w:sz w:val="28"/>
          <w:szCs w:val="28"/>
        </w:rPr>
        <w:t xml:space="preserve"> </w:t>
      </w:r>
      <w:r w:rsidRPr="00C43AD9">
        <w:rPr>
          <w:b/>
          <w:bCs/>
          <w:sz w:val="28"/>
          <w:szCs w:val="28"/>
        </w:rPr>
        <w:t>on the 2023 – 2024 update of the Dunedin City Council’s Ten-Year</w:t>
      </w:r>
    </w:p>
    <w:p w14:paraId="3AC7334D" w14:textId="77777777" w:rsidR="00750B02" w:rsidRDefault="00750B02"/>
    <w:p w14:paraId="56F8B186" w14:textId="2AE5C788" w:rsidR="00750B02" w:rsidRDefault="00750B02" w:rsidP="00750B02">
      <w:pPr>
        <w:pStyle w:val="ListParagraph"/>
        <w:numPr>
          <w:ilvl w:val="0"/>
          <w:numId w:val="3"/>
        </w:numPr>
      </w:pPr>
      <w:r>
        <w:t xml:space="preserve">The DSO welcomes the opportunity to consider and make </w:t>
      </w:r>
      <w:r w:rsidR="0075357E">
        <w:t xml:space="preserve">a </w:t>
      </w:r>
      <w:r>
        <w:t>submission on the 2023-2024 2023 -2024 update of its Ten-Year Plan.</w:t>
      </w:r>
    </w:p>
    <w:p w14:paraId="024DB746" w14:textId="77777777" w:rsidR="00750B02" w:rsidRDefault="00750B02" w:rsidP="00750B02"/>
    <w:p w14:paraId="0C575BC9" w14:textId="1D57F0AE" w:rsidR="00750B02" w:rsidRDefault="00425DDE" w:rsidP="00750B02">
      <w:r>
        <w:rPr>
          <w:b/>
          <w:bCs/>
        </w:rPr>
        <w:t xml:space="preserve">DCC’s </w:t>
      </w:r>
      <w:r w:rsidRPr="00425DDE">
        <w:rPr>
          <w:b/>
          <w:bCs/>
        </w:rPr>
        <w:t xml:space="preserve">Ara Toi </w:t>
      </w:r>
      <w:proofErr w:type="spellStart"/>
      <w:r w:rsidRPr="00425DDE">
        <w:rPr>
          <w:b/>
          <w:bCs/>
        </w:rPr>
        <w:t>Ōtepoti</w:t>
      </w:r>
      <w:proofErr w:type="spellEnd"/>
      <w:r w:rsidRPr="00425DDE">
        <w:rPr>
          <w:b/>
          <w:bCs/>
        </w:rPr>
        <w:t xml:space="preserve"> Arts and Culture Strategy</w:t>
      </w:r>
      <w:r>
        <w:rPr>
          <w:b/>
          <w:bCs/>
        </w:rPr>
        <w:t xml:space="preserve"> and Ten-Year Plan Community Outcomes</w:t>
      </w:r>
    </w:p>
    <w:p w14:paraId="4A2CC2E3" w14:textId="77777777" w:rsidR="00B25597" w:rsidRDefault="00B25597" w:rsidP="00750B02"/>
    <w:p w14:paraId="066D0691" w14:textId="0C192475" w:rsidR="00AA65DD" w:rsidRDefault="00AA65DD" w:rsidP="00B25597">
      <w:pPr>
        <w:pStyle w:val="ListParagraph"/>
        <w:numPr>
          <w:ilvl w:val="0"/>
          <w:numId w:val="3"/>
        </w:numPr>
      </w:pPr>
      <w:r>
        <w:t xml:space="preserve">The DSO thanks the DCC for its </w:t>
      </w:r>
      <w:r w:rsidR="002F0A6A">
        <w:t>on-going support</w:t>
      </w:r>
      <w:r>
        <w:t xml:space="preserve"> of the orchestra.  This was especially the case during the Covid-19 pandemic.</w:t>
      </w:r>
    </w:p>
    <w:p w14:paraId="1F4CB492" w14:textId="42D05AB6" w:rsidR="00A86AB7" w:rsidRDefault="00F44320" w:rsidP="00B25597">
      <w:pPr>
        <w:pStyle w:val="ListParagraph"/>
        <w:numPr>
          <w:ilvl w:val="0"/>
          <w:numId w:val="3"/>
        </w:numPr>
      </w:pPr>
      <w:r>
        <w:t xml:space="preserve">We commend the Dunedin City Council </w:t>
      </w:r>
      <w:r w:rsidR="00B25597">
        <w:t xml:space="preserve">(DCC) </w:t>
      </w:r>
      <w:r>
        <w:t xml:space="preserve">for its </w:t>
      </w:r>
      <w:r w:rsidR="00425DDE" w:rsidRPr="00425DDE">
        <w:t xml:space="preserve">Ara Toi </w:t>
      </w:r>
      <w:proofErr w:type="spellStart"/>
      <w:r w:rsidR="00425DDE" w:rsidRPr="00425DDE">
        <w:t>Ōtepoti</w:t>
      </w:r>
      <w:proofErr w:type="spellEnd"/>
      <w:r w:rsidR="00425DDE" w:rsidRPr="00425DDE">
        <w:t xml:space="preserve"> </w:t>
      </w:r>
      <w:r>
        <w:t xml:space="preserve">Arts and Culture </w:t>
      </w:r>
      <w:r w:rsidR="00425DDE">
        <w:t>Strategy</w:t>
      </w:r>
      <w:r w:rsidR="00AA65DD">
        <w:t>.</w:t>
      </w:r>
    </w:p>
    <w:p w14:paraId="3AFEA1FD" w14:textId="4177783E" w:rsidR="00B25597" w:rsidRDefault="00AA65DD" w:rsidP="00B25597">
      <w:pPr>
        <w:pStyle w:val="ListParagraph"/>
        <w:numPr>
          <w:ilvl w:val="0"/>
          <w:numId w:val="3"/>
        </w:numPr>
      </w:pPr>
      <w:r>
        <w:t xml:space="preserve">We further </w:t>
      </w:r>
      <w:r w:rsidR="00B25597">
        <w:t>note the Community Outcomes in the current Ten-Year Plan are:</w:t>
      </w:r>
    </w:p>
    <w:p w14:paraId="0A911320" w14:textId="77777777" w:rsidR="00B25597" w:rsidRDefault="00B25597" w:rsidP="00B25597">
      <w:pPr>
        <w:pStyle w:val="ListParagraph"/>
        <w:numPr>
          <w:ilvl w:val="0"/>
          <w:numId w:val="4"/>
        </w:numPr>
      </w:pPr>
      <w:r w:rsidRPr="00B25597">
        <w:rPr>
          <w:i/>
          <w:iCs/>
        </w:rPr>
        <w:t>A creative city with a rich and diverse arts and culture scene</w:t>
      </w:r>
      <w:r>
        <w:t xml:space="preserve">.  </w:t>
      </w:r>
    </w:p>
    <w:p w14:paraId="33306029" w14:textId="653B7025" w:rsidR="00B25597" w:rsidRPr="00B25597" w:rsidRDefault="00B25597" w:rsidP="00B25597">
      <w:pPr>
        <w:pStyle w:val="ListParagraph"/>
        <w:numPr>
          <w:ilvl w:val="0"/>
          <w:numId w:val="4"/>
        </w:numPr>
        <w:rPr>
          <w:i/>
          <w:iCs/>
        </w:rPr>
      </w:pPr>
      <w:r w:rsidRPr="00B25597">
        <w:rPr>
          <w:i/>
          <w:iCs/>
        </w:rPr>
        <w:t xml:space="preserve">A successful city with a diverse, </w:t>
      </w:r>
      <w:proofErr w:type="gramStart"/>
      <w:r w:rsidRPr="00B25597">
        <w:rPr>
          <w:i/>
          <w:iCs/>
        </w:rPr>
        <w:t>innovative</w:t>
      </w:r>
      <w:proofErr w:type="gramEnd"/>
      <w:r w:rsidRPr="00B25597">
        <w:rPr>
          <w:i/>
          <w:iCs/>
        </w:rPr>
        <w:t xml:space="preserve"> and productive economy</w:t>
      </w:r>
    </w:p>
    <w:p w14:paraId="61E5D7FD" w14:textId="77777777" w:rsidR="00B25597" w:rsidRPr="00B25597" w:rsidRDefault="00B25597" w:rsidP="00B25597">
      <w:pPr>
        <w:pStyle w:val="ListParagraph"/>
        <w:numPr>
          <w:ilvl w:val="0"/>
          <w:numId w:val="4"/>
        </w:numPr>
        <w:rPr>
          <w:i/>
          <w:iCs/>
        </w:rPr>
      </w:pPr>
      <w:r w:rsidRPr="00B25597">
        <w:rPr>
          <w:i/>
          <w:iCs/>
        </w:rPr>
        <w:t>A supportive city with caring communities and a great quality of life</w:t>
      </w:r>
    </w:p>
    <w:p w14:paraId="4A0607E8" w14:textId="6C96B29D" w:rsidR="00B25597" w:rsidRPr="00B25597" w:rsidRDefault="00B25597" w:rsidP="00B25597">
      <w:pPr>
        <w:pStyle w:val="ListParagraph"/>
        <w:numPr>
          <w:ilvl w:val="0"/>
          <w:numId w:val="4"/>
        </w:numPr>
        <w:rPr>
          <w:i/>
          <w:iCs/>
        </w:rPr>
      </w:pPr>
      <w:r w:rsidRPr="00B25597">
        <w:rPr>
          <w:i/>
          <w:iCs/>
        </w:rPr>
        <w:t xml:space="preserve">A compact city with a vibrant CBD and thriving suburban and rural </w:t>
      </w:r>
      <w:proofErr w:type="gramStart"/>
      <w:r w:rsidRPr="00B25597">
        <w:rPr>
          <w:i/>
          <w:iCs/>
        </w:rPr>
        <w:t>centres</w:t>
      </w:r>
      <w:proofErr w:type="gramEnd"/>
    </w:p>
    <w:p w14:paraId="38015DFC" w14:textId="0EF94202" w:rsidR="00B25597" w:rsidRPr="00B25597" w:rsidRDefault="00B25597" w:rsidP="00B25597">
      <w:pPr>
        <w:pStyle w:val="ListParagraph"/>
        <w:numPr>
          <w:ilvl w:val="0"/>
          <w:numId w:val="3"/>
        </w:numPr>
      </w:pPr>
      <w:r>
        <w:t>The DSO is proud of its</w:t>
      </w:r>
      <w:r w:rsidR="00A86AB7">
        <w:t xml:space="preserve"> significant and substantial</w:t>
      </w:r>
      <w:r>
        <w:t xml:space="preserve"> contribution</w:t>
      </w:r>
      <w:r w:rsidR="00A86AB7">
        <w:t>s</w:t>
      </w:r>
      <w:r>
        <w:t xml:space="preserve"> to these Community Outcomes.</w:t>
      </w:r>
    </w:p>
    <w:p w14:paraId="1B5F2D85" w14:textId="77777777" w:rsidR="00425DDE" w:rsidRDefault="00425DDE" w:rsidP="00425DDE"/>
    <w:p w14:paraId="78515275" w14:textId="0106516F" w:rsidR="00425DDE" w:rsidRDefault="00425DDE" w:rsidP="00425DDE">
      <w:r>
        <w:rPr>
          <w:b/>
          <w:bCs/>
        </w:rPr>
        <w:t>Introduction</w:t>
      </w:r>
    </w:p>
    <w:p w14:paraId="33400629" w14:textId="77777777" w:rsidR="00425DDE" w:rsidRPr="00425DDE" w:rsidRDefault="00425DDE" w:rsidP="00425DDE"/>
    <w:p w14:paraId="6E95AC2E" w14:textId="027C4303" w:rsidR="00750B02" w:rsidRDefault="002F0A6A" w:rsidP="00750B02">
      <w:pPr>
        <w:pStyle w:val="ListParagraph"/>
        <w:numPr>
          <w:ilvl w:val="0"/>
          <w:numId w:val="3"/>
        </w:numPr>
      </w:pPr>
      <w:r>
        <w:t xml:space="preserve">The DSO provides </w:t>
      </w:r>
      <w:r w:rsidR="006C1BA6">
        <w:t>diverse orchestral experiences by and for the Dunedin community contributing to Dunedin’s thriving cultural scene</w:t>
      </w:r>
      <w:r w:rsidR="00763699">
        <w:t xml:space="preserve"> and events</w:t>
      </w:r>
      <w:r w:rsidR="00750B02">
        <w:t>,</w:t>
      </w:r>
      <w:r w:rsidR="00F44320">
        <w:t xml:space="preserve"> to the benefit of</w:t>
      </w:r>
      <w:r w:rsidR="00750B02">
        <w:t xml:space="preserve"> </w:t>
      </w:r>
      <w:r w:rsidR="00F44320">
        <w:t>the city’s economy and citizens’ social well-being.</w:t>
      </w:r>
    </w:p>
    <w:p w14:paraId="01E6EF02" w14:textId="00E865CA" w:rsidR="006C1BA6" w:rsidRDefault="006C1BA6" w:rsidP="00750B02">
      <w:pPr>
        <w:pStyle w:val="ListParagraph"/>
        <w:numPr>
          <w:ilvl w:val="0"/>
          <w:numId w:val="3"/>
        </w:numPr>
      </w:pPr>
      <w:r>
        <w:t>This is through:</w:t>
      </w:r>
    </w:p>
    <w:p w14:paraId="3824EB73" w14:textId="58A519EC" w:rsidR="00FA0D36" w:rsidRDefault="00763699" w:rsidP="006C1BA6">
      <w:pPr>
        <w:pStyle w:val="ListParagraph"/>
        <w:numPr>
          <w:ilvl w:val="0"/>
          <w:numId w:val="1"/>
        </w:numPr>
      </w:pPr>
      <w:r>
        <w:t>DSO</w:t>
      </w:r>
      <w:r w:rsidR="006C1BA6">
        <w:t xml:space="preserve"> concerts:  </w:t>
      </w:r>
      <w:r w:rsidR="002F0A6A">
        <w:t>providing employ</w:t>
      </w:r>
      <w:r w:rsidR="00FA0D36">
        <w:t>ment</w:t>
      </w:r>
      <w:r w:rsidR="002F0A6A">
        <w:t xml:space="preserve"> for </w:t>
      </w:r>
      <w:r w:rsidR="00F44320">
        <w:t>up to 80 of Dunedin’s finest musicians</w:t>
      </w:r>
      <w:r w:rsidR="00FA0D36">
        <w:t>.</w:t>
      </w:r>
    </w:p>
    <w:p w14:paraId="08151ADF" w14:textId="2E78D619" w:rsidR="00F44320" w:rsidRDefault="00FA0D36" w:rsidP="006C1BA6">
      <w:pPr>
        <w:pStyle w:val="ListParagraph"/>
        <w:numPr>
          <w:ilvl w:val="0"/>
          <w:numId w:val="1"/>
        </w:numPr>
      </w:pPr>
      <w:r>
        <w:t xml:space="preserve">Music from Beethoven to the Beatles, </w:t>
      </w:r>
      <w:proofErr w:type="spellStart"/>
      <w:r>
        <w:t>Matariki</w:t>
      </w:r>
      <w:proofErr w:type="spellEnd"/>
      <w:r>
        <w:t xml:space="preserve"> concerts featuring taonga </w:t>
      </w:r>
      <w:proofErr w:type="spellStart"/>
      <w:r>
        <w:t>puoro</w:t>
      </w:r>
      <w:proofErr w:type="spellEnd"/>
      <w:r>
        <w:t>, commissions for Dunedin’s composers, music for the Ukraine benefit concert.</w:t>
      </w:r>
    </w:p>
    <w:p w14:paraId="3F1661EA" w14:textId="53BFACE9" w:rsidR="00FA0D36" w:rsidRDefault="00FA0D36" w:rsidP="006C1BA6">
      <w:pPr>
        <w:pStyle w:val="ListParagraph"/>
        <w:numPr>
          <w:ilvl w:val="0"/>
          <w:numId w:val="1"/>
        </w:numPr>
      </w:pPr>
      <w:r>
        <w:t>Growing digital audiences around NZ and the world for our digital performances (which started during the Covid lockdown).</w:t>
      </w:r>
    </w:p>
    <w:p w14:paraId="2C780DB6" w14:textId="31BB1ADF" w:rsidR="006C1BA6" w:rsidRDefault="006C1BA6" w:rsidP="00F44320">
      <w:pPr>
        <w:pStyle w:val="ListParagraph"/>
        <w:numPr>
          <w:ilvl w:val="0"/>
          <w:numId w:val="1"/>
        </w:numPr>
      </w:pPr>
      <w:r>
        <w:t xml:space="preserve">A wide range of </w:t>
      </w:r>
      <w:r w:rsidR="00F44320">
        <w:t xml:space="preserve">community </w:t>
      </w:r>
      <w:r>
        <w:t>educational outreach project</w:t>
      </w:r>
      <w:r w:rsidR="00F44320">
        <w:t xml:space="preserve">s and collaborations, especially with </w:t>
      </w:r>
      <w:r w:rsidR="000A2CBF">
        <w:t>the University</w:t>
      </w:r>
      <w:r w:rsidR="00F44320">
        <w:t xml:space="preserve">, around Dunedin, Central </w:t>
      </w:r>
      <w:proofErr w:type="gramStart"/>
      <w:r w:rsidR="00F44320">
        <w:t>Otago</w:t>
      </w:r>
      <w:proofErr w:type="gramEnd"/>
      <w:r w:rsidR="00F44320">
        <w:t xml:space="preserve"> and Southland.</w:t>
      </w:r>
    </w:p>
    <w:p w14:paraId="1E87D11F" w14:textId="44DE201E" w:rsidR="00FA0D36" w:rsidRDefault="00FA0D36" w:rsidP="00F44320">
      <w:pPr>
        <w:pStyle w:val="ListParagraph"/>
        <w:numPr>
          <w:ilvl w:val="0"/>
          <w:numId w:val="1"/>
        </w:numPr>
      </w:pPr>
      <w:r>
        <w:t>Record enrolments for DSO’s junior orchestra DSO Academy.</w:t>
      </w:r>
    </w:p>
    <w:p w14:paraId="14B2C33B" w14:textId="5B378AC4" w:rsidR="006C1BA6" w:rsidRDefault="00FA0D36" w:rsidP="006C1BA6">
      <w:pPr>
        <w:pStyle w:val="ListParagraph"/>
        <w:numPr>
          <w:ilvl w:val="0"/>
          <w:numId w:val="1"/>
        </w:numPr>
      </w:pPr>
      <w:r>
        <w:t xml:space="preserve">Collaborations with other major Dunedin musical organisations:  Dunedin Arts Festival, </w:t>
      </w:r>
      <w:r w:rsidR="006C1BA6">
        <w:t>City Choir Dunedin’s ‘Messiah’</w:t>
      </w:r>
      <w:r>
        <w:t xml:space="preserve">, </w:t>
      </w:r>
      <w:r w:rsidR="006C1BA6">
        <w:t>Opera Otago</w:t>
      </w:r>
      <w:r>
        <w:t>.</w:t>
      </w:r>
    </w:p>
    <w:p w14:paraId="53194983" w14:textId="12D299C3" w:rsidR="00FA0D36" w:rsidRDefault="00FA0D36" w:rsidP="006C1BA6">
      <w:pPr>
        <w:pStyle w:val="ListParagraph"/>
        <w:numPr>
          <w:ilvl w:val="0"/>
          <w:numId w:val="1"/>
        </w:numPr>
      </w:pPr>
      <w:r>
        <w:t>Performances in Hanover Hall by a very wide range of arts and community groups:  Dunedin Youth Orchestra, Dunedin Jazz Club.</w:t>
      </w:r>
    </w:p>
    <w:p w14:paraId="28F8662F" w14:textId="77777777" w:rsidR="006C1BA6" w:rsidRDefault="006C1BA6" w:rsidP="006C1BA6">
      <w:pPr>
        <w:pStyle w:val="ListParagraph"/>
        <w:numPr>
          <w:ilvl w:val="0"/>
          <w:numId w:val="1"/>
        </w:numPr>
      </w:pPr>
      <w:r>
        <w:t>Performances around Otago.</w:t>
      </w:r>
    </w:p>
    <w:p w14:paraId="5C74D1F2" w14:textId="243A82AF" w:rsidR="006C1BA6" w:rsidRDefault="00B25597" w:rsidP="006C1BA6">
      <w:pPr>
        <w:pStyle w:val="ListParagraph"/>
        <w:numPr>
          <w:ilvl w:val="0"/>
          <w:numId w:val="3"/>
        </w:numPr>
      </w:pPr>
      <w:r>
        <w:t xml:space="preserve">Because of the high quality of the orchestra, it attracts </w:t>
      </w:r>
      <w:r w:rsidR="00AE13B0">
        <w:t xml:space="preserve">top-quality </w:t>
      </w:r>
      <w:r w:rsidR="006C1BA6">
        <w:t>conductors and soloists</w:t>
      </w:r>
      <w:r>
        <w:t xml:space="preserve"> </w:t>
      </w:r>
      <w:r w:rsidR="00AE13B0">
        <w:t>from</w:t>
      </w:r>
      <w:r w:rsidR="006C1BA6">
        <w:t xml:space="preserve"> around New Zealand and</w:t>
      </w:r>
      <w:r>
        <w:t xml:space="preserve"> </w:t>
      </w:r>
      <w:r w:rsidR="006C1BA6">
        <w:t>the world.</w:t>
      </w:r>
    </w:p>
    <w:p w14:paraId="6214BE4A" w14:textId="06B742DC" w:rsidR="00F44320" w:rsidRDefault="00F44320" w:rsidP="006C1BA6">
      <w:pPr>
        <w:pStyle w:val="ListParagraph"/>
        <w:numPr>
          <w:ilvl w:val="0"/>
          <w:numId w:val="3"/>
        </w:numPr>
      </w:pPr>
      <w:r>
        <w:t>Each year the DSO</w:t>
      </w:r>
    </w:p>
    <w:p w14:paraId="1515464E" w14:textId="28E88D10" w:rsidR="00F44320" w:rsidRDefault="00F44320" w:rsidP="00B25597">
      <w:pPr>
        <w:pStyle w:val="ListParagraph"/>
        <w:numPr>
          <w:ilvl w:val="1"/>
          <w:numId w:val="1"/>
        </w:numPr>
      </w:pPr>
      <w:r>
        <w:t xml:space="preserve">Performs to 12,000 – 16,000 </w:t>
      </w:r>
      <w:proofErr w:type="gramStart"/>
      <w:r>
        <w:t>people</w:t>
      </w:r>
      <w:proofErr w:type="gramEnd"/>
    </w:p>
    <w:p w14:paraId="30408700" w14:textId="3451F4FF" w:rsidR="00F44320" w:rsidRDefault="00F44320" w:rsidP="00B25597">
      <w:pPr>
        <w:pStyle w:val="ListParagraph"/>
        <w:numPr>
          <w:ilvl w:val="1"/>
          <w:numId w:val="1"/>
        </w:numPr>
      </w:pPr>
      <w:r>
        <w:t xml:space="preserve">This includes 5,000 school </w:t>
      </w:r>
      <w:proofErr w:type="gramStart"/>
      <w:r>
        <w:t>children</w:t>
      </w:r>
      <w:proofErr w:type="gramEnd"/>
    </w:p>
    <w:p w14:paraId="31B9874E" w14:textId="7C81E535" w:rsidR="00F44320" w:rsidRDefault="00F44320" w:rsidP="00B25597">
      <w:pPr>
        <w:pStyle w:val="ListParagraph"/>
        <w:numPr>
          <w:ilvl w:val="1"/>
          <w:numId w:val="1"/>
        </w:numPr>
      </w:pPr>
      <w:r>
        <w:t>Injects c. $1 million into the Dunedin economy, including $360,000 of central government funding.</w:t>
      </w:r>
    </w:p>
    <w:p w14:paraId="08A70596" w14:textId="3A391B0D" w:rsidR="00425DDE" w:rsidRDefault="00425DDE">
      <w:r>
        <w:br w:type="page"/>
      </w:r>
    </w:p>
    <w:p w14:paraId="3BCF987D" w14:textId="77777777" w:rsidR="006C1BA6" w:rsidRDefault="006C1BA6" w:rsidP="006C1BA6"/>
    <w:p w14:paraId="2EC83EA1" w14:textId="19A21174" w:rsidR="00B25597" w:rsidRPr="00425DDE" w:rsidRDefault="00425DDE" w:rsidP="006C1BA6">
      <w:pPr>
        <w:rPr>
          <w:b/>
          <w:bCs/>
          <w:sz w:val="24"/>
          <w:szCs w:val="24"/>
        </w:rPr>
      </w:pPr>
      <w:r w:rsidRPr="00425DDE">
        <w:rPr>
          <w:b/>
          <w:bCs/>
          <w:sz w:val="24"/>
          <w:szCs w:val="24"/>
        </w:rPr>
        <w:t xml:space="preserve">Section 1:  </w:t>
      </w:r>
      <w:r w:rsidR="00B25597" w:rsidRPr="00425DDE">
        <w:rPr>
          <w:b/>
          <w:bCs/>
          <w:sz w:val="24"/>
          <w:szCs w:val="24"/>
        </w:rPr>
        <w:t>D</w:t>
      </w:r>
      <w:r w:rsidRPr="00425DDE">
        <w:rPr>
          <w:b/>
          <w:bCs/>
          <w:sz w:val="24"/>
          <w:szCs w:val="24"/>
        </w:rPr>
        <w:t>SO</w:t>
      </w:r>
      <w:r w:rsidR="00B25597" w:rsidRPr="00425DDE">
        <w:rPr>
          <w:b/>
          <w:bCs/>
          <w:sz w:val="24"/>
          <w:szCs w:val="24"/>
        </w:rPr>
        <w:t xml:space="preserve">’s </w:t>
      </w:r>
      <w:r w:rsidR="000608A4" w:rsidRPr="00425DDE">
        <w:rPr>
          <w:b/>
          <w:bCs/>
          <w:sz w:val="24"/>
          <w:szCs w:val="24"/>
        </w:rPr>
        <w:t>Civic Service Grant and Town Hall Hire</w:t>
      </w:r>
    </w:p>
    <w:p w14:paraId="54DC59CC" w14:textId="77777777" w:rsidR="00425DDE" w:rsidRDefault="00425DDE" w:rsidP="00425DDE"/>
    <w:p w14:paraId="094A85F1" w14:textId="0870AD97" w:rsidR="00425DDE" w:rsidRPr="00425DDE" w:rsidRDefault="00425DDE" w:rsidP="00425DDE">
      <w:pPr>
        <w:rPr>
          <w:b/>
          <w:bCs/>
        </w:rPr>
      </w:pPr>
      <w:r>
        <w:rPr>
          <w:b/>
          <w:bCs/>
        </w:rPr>
        <w:t>DSO’s Civic Service Grants</w:t>
      </w:r>
    </w:p>
    <w:p w14:paraId="329CB34C" w14:textId="7559EEC5" w:rsidR="000608A4" w:rsidRDefault="000608A4" w:rsidP="00425DDE">
      <w:pPr>
        <w:pStyle w:val="ListParagraph"/>
        <w:numPr>
          <w:ilvl w:val="0"/>
          <w:numId w:val="1"/>
        </w:numPr>
      </w:pPr>
      <w:r>
        <w:t>Since 2013 when DVML assumed management of the Town Hall and comparing it to the DSO’s Civic Service Grant:</w:t>
      </w:r>
    </w:p>
    <w:p w14:paraId="6284738F" w14:textId="77777777" w:rsidR="00425DDE" w:rsidRDefault="00425DDE" w:rsidP="00425DDE"/>
    <w:p w14:paraId="61F0E963" w14:textId="77777777" w:rsidR="000608A4" w:rsidRDefault="000608A4" w:rsidP="000608A4"/>
    <w:tbl>
      <w:tblPr>
        <w:tblStyle w:val="TableGrid"/>
        <w:tblW w:w="0" w:type="auto"/>
        <w:tblLook w:val="04A0" w:firstRow="1" w:lastRow="0" w:firstColumn="1" w:lastColumn="0" w:noHBand="0" w:noVBand="1"/>
      </w:tblPr>
      <w:tblGrid>
        <w:gridCol w:w="3080"/>
        <w:gridCol w:w="997"/>
        <w:gridCol w:w="940"/>
        <w:gridCol w:w="1499"/>
        <w:gridCol w:w="1782"/>
      </w:tblGrid>
      <w:tr w:rsidR="0075357E" w14:paraId="08932510" w14:textId="292BF5DD" w:rsidTr="0075357E">
        <w:tc>
          <w:tcPr>
            <w:tcW w:w="3080" w:type="dxa"/>
          </w:tcPr>
          <w:p w14:paraId="249935DF" w14:textId="77777777" w:rsidR="0075357E" w:rsidRDefault="0075357E" w:rsidP="000608A4"/>
        </w:tc>
        <w:tc>
          <w:tcPr>
            <w:tcW w:w="997" w:type="dxa"/>
          </w:tcPr>
          <w:p w14:paraId="24B47405" w14:textId="7C4D7E3D" w:rsidR="0075357E" w:rsidRDefault="0075357E" w:rsidP="000608A4">
            <w:r>
              <w:t>2013</w:t>
            </w:r>
          </w:p>
        </w:tc>
        <w:tc>
          <w:tcPr>
            <w:tcW w:w="940" w:type="dxa"/>
          </w:tcPr>
          <w:p w14:paraId="5490E5E4" w14:textId="2DD6CE08" w:rsidR="0075357E" w:rsidRDefault="0075357E" w:rsidP="000608A4">
            <w:r>
              <w:t>2023</w:t>
            </w:r>
          </w:p>
        </w:tc>
        <w:tc>
          <w:tcPr>
            <w:tcW w:w="1499" w:type="dxa"/>
          </w:tcPr>
          <w:p w14:paraId="67973B49" w14:textId="343BCD05" w:rsidR="0075357E" w:rsidRPr="00CE773D" w:rsidRDefault="0075357E" w:rsidP="000608A4">
            <w:r>
              <w:t>Annual impact on DSO’s budget</w:t>
            </w:r>
          </w:p>
        </w:tc>
        <w:tc>
          <w:tcPr>
            <w:tcW w:w="1782" w:type="dxa"/>
          </w:tcPr>
          <w:p w14:paraId="39D3ACA6" w14:textId="31D1315B" w:rsidR="0075357E" w:rsidRPr="00CE773D" w:rsidRDefault="0075357E" w:rsidP="000608A4">
            <w:pPr>
              <w:rPr>
                <w:i/>
                <w:iCs/>
              </w:rPr>
            </w:pPr>
            <w:r>
              <w:rPr>
                <w:i/>
                <w:iCs/>
              </w:rPr>
              <w:t xml:space="preserve">Adjusting 2013 figures </w:t>
            </w:r>
            <w:r w:rsidRPr="00CE773D">
              <w:rPr>
                <w:i/>
                <w:iCs/>
              </w:rPr>
              <w:t>for inflation</w:t>
            </w:r>
            <w:r>
              <w:rPr>
                <w:i/>
                <w:iCs/>
              </w:rPr>
              <w:t xml:space="preserve"> to 2023</w:t>
            </w:r>
          </w:p>
        </w:tc>
      </w:tr>
      <w:tr w:rsidR="0075357E" w14:paraId="432C95C6" w14:textId="5D8C2E3B" w:rsidTr="0075357E">
        <w:tc>
          <w:tcPr>
            <w:tcW w:w="3080" w:type="dxa"/>
          </w:tcPr>
          <w:p w14:paraId="1001989A" w14:textId="772385AA" w:rsidR="0075357E" w:rsidRDefault="0075357E" w:rsidP="000608A4">
            <w:r>
              <w:t>Town Hall annual hire cost</w:t>
            </w:r>
          </w:p>
        </w:tc>
        <w:tc>
          <w:tcPr>
            <w:tcW w:w="997" w:type="dxa"/>
          </w:tcPr>
          <w:p w14:paraId="284811DB" w14:textId="62803A72" w:rsidR="0075357E" w:rsidRDefault="0075357E" w:rsidP="000608A4">
            <w:r>
              <w:t>$13,400</w:t>
            </w:r>
          </w:p>
        </w:tc>
        <w:tc>
          <w:tcPr>
            <w:tcW w:w="940" w:type="dxa"/>
          </w:tcPr>
          <w:p w14:paraId="30542B09" w14:textId="24AAD9AE" w:rsidR="0075357E" w:rsidRDefault="0075357E" w:rsidP="000608A4">
            <w:r>
              <w:t>$70,000</w:t>
            </w:r>
          </w:p>
        </w:tc>
        <w:tc>
          <w:tcPr>
            <w:tcW w:w="1499" w:type="dxa"/>
          </w:tcPr>
          <w:p w14:paraId="7D3DC220" w14:textId="1518C4B6" w:rsidR="0075357E" w:rsidRPr="00CE773D" w:rsidRDefault="0075357E" w:rsidP="000608A4">
            <w:r>
              <w:t>($56,600)</w:t>
            </w:r>
          </w:p>
        </w:tc>
        <w:tc>
          <w:tcPr>
            <w:tcW w:w="1782" w:type="dxa"/>
          </w:tcPr>
          <w:p w14:paraId="6FE1C417" w14:textId="2FCA4174" w:rsidR="0075357E" w:rsidRPr="00CE773D" w:rsidRDefault="0075357E" w:rsidP="000608A4">
            <w:pPr>
              <w:rPr>
                <w:i/>
                <w:iCs/>
              </w:rPr>
            </w:pPr>
            <w:r w:rsidRPr="00CE773D">
              <w:rPr>
                <w:i/>
                <w:iCs/>
              </w:rPr>
              <w:t>$17,044</w:t>
            </w:r>
          </w:p>
        </w:tc>
      </w:tr>
      <w:tr w:rsidR="0075357E" w14:paraId="26BBAFFE" w14:textId="6E5E6D6D" w:rsidTr="0075357E">
        <w:tc>
          <w:tcPr>
            <w:tcW w:w="3080" w:type="dxa"/>
          </w:tcPr>
          <w:p w14:paraId="207AAAAB" w14:textId="7402545F" w:rsidR="0075357E" w:rsidRDefault="0075357E" w:rsidP="000608A4">
            <w:r>
              <w:t>Percentage increase</w:t>
            </w:r>
          </w:p>
        </w:tc>
        <w:tc>
          <w:tcPr>
            <w:tcW w:w="997" w:type="dxa"/>
          </w:tcPr>
          <w:p w14:paraId="1CF21E84" w14:textId="18FED7EF" w:rsidR="0075357E" w:rsidRDefault="0075357E" w:rsidP="000608A4"/>
        </w:tc>
        <w:tc>
          <w:tcPr>
            <w:tcW w:w="940" w:type="dxa"/>
          </w:tcPr>
          <w:p w14:paraId="32FFAC1B" w14:textId="496DBAB5" w:rsidR="0075357E" w:rsidRDefault="0075357E" w:rsidP="000608A4">
            <w:r>
              <w:t>322%</w:t>
            </w:r>
          </w:p>
        </w:tc>
        <w:tc>
          <w:tcPr>
            <w:tcW w:w="1499" w:type="dxa"/>
          </w:tcPr>
          <w:p w14:paraId="3CF6105F" w14:textId="77777777" w:rsidR="0075357E" w:rsidRPr="00CE773D" w:rsidRDefault="0075357E" w:rsidP="000608A4"/>
        </w:tc>
        <w:tc>
          <w:tcPr>
            <w:tcW w:w="1782" w:type="dxa"/>
          </w:tcPr>
          <w:p w14:paraId="0F8970DE" w14:textId="454D2E4D" w:rsidR="0075357E" w:rsidRPr="00CE773D" w:rsidRDefault="0075357E" w:rsidP="000608A4">
            <w:pPr>
              <w:rPr>
                <w:i/>
                <w:iCs/>
              </w:rPr>
            </w:pPr>
          </w:p>
        </w:tc>
      </w:tr>
      <w:tr w:rsidR="0075357E" w14:paraId="0C25C692" w14:textId="7DF4A3E9" w:rsidTr="0075357E">
        <w:tc>
          <w:tcPr>
            <w:tcW w:w="3080" w:type="dxa"/>
          </w:tcPr>
          <w:p w14:paraId="095B77B9" w14:textId="6A0E2AE8" w:rsidR="0075357E" w:rsidRDefault="0075357E" w:rsidP="000608A4"/>
        </w:tc>
        <w:tc>
          <w:tcPr>
            <w:tcW w:w="997" w:type="dxa"/>
          </w:tcPr>
          <w:p w14:paraId="150C9C85" w14:textId="77777777" w:rsidR="0075357E" w:rsidRDefault="0075357E" w:rsidP="000608A4"/>
        </w:tc>
        <w:tc>
          <w:tcPr>
            <w:tcW w:w="940" w:type="dxa"/>
          </w:tcPr>
          <w:p w14:paraId="13B8E6B4" w14:textId="7558C86E" w:rsidR="0075357E" w:rsidRDefault="0075357E" w:rsidP="000608A4"/>
        </w:tc>
        <w:tc>
          <w:tcPr>
            <w:tcW w:w="1499" w:type="dxa"/>
          </w:tcPr>
          <w:p w14:paraId="6FA542F6" w14:textId="77777777" w:rsidR="0075357E" w:rsidRPr="00CE773D" w:rsidRDefault="0075357E" w:rsidP="000608A4"/>
        </w:tc>
        <w:tc>
          <w:tcPr>
            <w:tcW w:w="1782" w:type="dxa"/>
          </w:tcPr>
          <w:p w14:paraId="1FDD6985" w14:textId="46DEE288" w:rsidR="0075357E" w:rsidRPr="00CE773D" w:rsidRDefault="0075357E" w:rsidP="000608A4">
            <w:pPr>
              <w:rPr>
                <w:i/>
                <w:iCs/>
              </w:rPr>
            </w:pPr>
          </w:p>
        </w:tc>
      </w:tr>
      <w:tr w:rsidR="0075357E" w14:paraId="7124C152" w14:textId="35B0FFAF" w:rsidTr="0075357E">
        <w:tc>
          <w:tcPr>
            <w:tcW w:w="3080" w:type="dxa"/>
          </w:tcPr>
          <w:p w14:paraId="203F8BCF" w14:textId="4B233EBA" w:rsidR="0075357E" w:rsidRDefault="0075357E" w:rsidP="000608A4">
            <w:r>
              <w:t>DCC’s Civic Service Grants</w:t>
            </w:r>
          </w:p>
        </w:tc>
        <w:tc>
          <w:tcPr>
            <w:tcW w:w="997" w:type="dxa"/>
          </w:tcPr>
          <w:p w14:paraId="40E34397" w14:textId="56F289DB" w:rsidR="0075357E" w:rsidRDefault="0075357E" w:rsidP="000608A4">
            <w:r>
              <w:t>$98,000</w:t>
            </w:r>
          </w:p>
        </w:tc>
        <w:tc>
          <w:tcPr>
            <w:tcW w:w="940" w:type="dxa"/>
          </w:tcPr>
          <w:p w14:paraId="74C0E0D1" w14:textId="0ED74B9B" w:rsidR="0075357E" w:rsidRDefault="0075357E" w:rsidP="000608A4">
            <w:r>
              <w:t>$95,000</w:t>
            </w:r>
          </w:p>
        </w:tc>
        <w:tc>
          <w:tcPr>
            <w:tcW w:w="1499" w:type="dxa"/>
          </w:tcPr>
          <w:p w14:paraId="4878112B" w14:textId="2F72ED33" w:rsidR="0075357E" w:rsidRPr="00CE773D" w:rsidRDefault="0075357E" w:rsidP="000608A4">
            <w:r>
              <w:t>($3,000)</w:t>
            </w:r>
          </w:p>
        </w:tc>
        <w:tc>
          <w:tcPr>
            <w:tcW w:w="1782" w:type="dxa"/>
          </w:tcPr>
          <w:p w14:paraId="69A4C4F4" w14:textId="3206C31E" w:rsidR="0075357E" w:rsidRPr="00CE773D" w:rsidRDefault="0075357E" w:rsidP="000608A4">
            <w:pPr>
              <w:rPr>
                <w:i/>
                <w:iCs/>
              </w:rPr>
            </w:pPr>
            <w:r w:rsidRPr="00CE773D">
              <w:rPr>
                <w:i/>
                <w:iCs/>
              </w:rPr>
              <w:t>$124,600</w:t>
            </w:r>
          </w:p>
        </w:tc>
      </w:tr>
      <w:tr w:rsidR="0075357E" w14:paraId="484ACA97" w14:textId="56931DC3" w:rsidTr="0075357E">
        <w:tc>
          <w:tcPr>
            <w:tcW w:w="3080" w:type="dxa"/>
          </w:tcPr>
          <w:p w14:paraId="2A194A38" w14:textId="176FB5C5" w:rsidR="0075357E" w:rsidRDefault="0075357E" w:rsidP="000608A4"/>
        </w:tc>
        <w:tc>
          <w:tcPr>
            <w:tcW w:w="997" w:type="dxa"/>
          </w:tcPr>
          <w:p w14:paraId="274121AF" w14:textId="77777777" w:rsidR="0075357E" w:rsidRDefault="0075357E" w:rsidP="000608A4"/>
        </w:tc>
        <w:tc>
          <w:tcPr>
            <w:tcW w:w="940" w:type="dxa"/>
          </w:tcPr>
          <w:p w14:paraId="3DC2FDC6" w14:textId="77777777" w:rsidR="0075357E" w:rsidRDefault="0075357E" w:rsidP="000608A4"/>
        </w:tc>
        <w:tc>
          <w:tcPr>
            <w:tcW w:w="1499" w:type="dxa"/>
          </w:tcPr>
          <w:p w14:paraId="063ACDE2" w14:textId="77777777" w:rsidR="0075357E" w:rsidRPr="00CE773D" w:rsidRDefault="0075357E" w:rsidP="000608A4"/>
        </w:tc>
        <w:tc>
          <w:tcPr>
            <w:tcW w:w="1782" w:type="dxa"/>
          </w:tcPr>
          <w:p w14:paraId="08B5FA2A" w14:textId="41376C19" w:rsidR="0075357E" w:rsidRDefault="0075357E" w:rsidP="000608A4"/>
        </w:tc>
      </w:tr>
      <w:tr w:rsidR="0075357E" w14:paraId="35623FCC" w14:textId="721D0756" w:rsidTr="0075357E">
        <w:tc>
          <w:tcPr>
            <w:tcW w:w="3080" w:type="dxa"/>
          </w:tcPr>
          <w:p w14:paraId="784AD892" w14:textId="5B8947FE" w:rsidR="0075357E" w:rsidRDefault="0075357E" w:rsidP="000608A4">
            <w:r>
              <w:t>Impact on DSO’s annual budget</w:t>
            </w:r>
          </w:p>
        </w:tc>
        <w:tc>
          <w:tcPr>
            <w:tcW w:w="997" w:type="dxa"/>
          </w:tcPr>
          <w:p w14:paraId="6A635172" w14:textId="77777777" w:rsidR="0075357E" w:rsidRDefault="0075357E" w:rsidP="000608A4"/>
        </w:tc>
        <w:tc>
          <w:tcPr>
            <w:tcW w:w="940" w:type="dxa"/>
          </w:tcPr>
          <w:p w14:paraId="7C4E0EFD" w14:textId="77777777" w:rsidR="0075357E" w:rsidRDefault="0075357E" w:rsidP="000608A4"/>
        </w:tc>
        <w:tc>
          <w:tcPr>
            <w:tcW w:w="1499" w:type="dxa"/>
          </w:tcPr>
          <w:p w14:paraId="23711473" w14:textId="7DDAE9A7" w:rsidR="0075357E" w:rsidRPr="00CE773D" w:rsidRDefault="0075357E" w:rsidP="000608A4">
            <w:r>
              <w:rPr>
                <w:color w:val="FF0000"/>
              </w:rPr>
              <w:t>(</w:t>
            </w:r>
            <w:r w:rsidRPr="00CE773D">
              <w:rPr>
                <w:color w:val="FF0000"/>
              </w:rPr>
              <w:t>$58,600</w:t>
            </w:r>
            <w:r>
              <w:rPr>
                <w:color w:val="FF0000"/>
              </w:rPr>
              <w:t>)</w:t>
            </w:r>
          </w:p>
        </w:tc>
        <w:tc>
          <w:tcPr>
            <w:tcW w:w="1782" w:type="dxa"/>
          </w:tcPr>
          <w:p w14:paraId="7F387EB7" w14:textId="18F8FF91" w:rsidR="0075357E" w:rsidRDefault="0075357E" w:rsidP="000608A4"/>
        </w:tc>
      </w:tr>
    </w:tbl>
    <w:p w14:paraId="2AA22606" w14:textId="77777777" w:rsidR="000608A4" w:rsidRDefault="000608A4" w:rsidP="000608A4"/>
    <w:p w14:paraId="7E53F9E3" w14:textId="46467953" w:rsidR="00AA65DD" w:rsidRDefault="00A86AB7" w:rsidP="007478C8">
      <w:pPr>
        <w:pStyle w:val="ListParagraph"/>
        <w:numPr>
          <w:ilvl w:val="0"/>
          <w:numId w:val="3"/>
        </w:numPr>
      </w:pPr>
      <w:r>
        <w:t xml:space="preserve">The above table clearly illustrates the financial </w:t>
      </w:r>
      <w:r w:rsidR="007478C8">
        <w:t>impact for</w:t>
      </w:r>
      <w:r>
        <w:t xml:space="preserve"> the DSO, </w:t>
      </w:r>
      <w:r w:rsidR="007478C8">
        <w:t>with inflation only increasing this impact</w:t>
      </w:r>
      <w:r>
        <w:t>.</w:t>
      </w:r>
    </w:p>
    <w:p w14:paraId="2B5917B8" w14:textId="1D0D1DB7" w:rsidR="00FA0D36" w:rsidRDefault="00AA65DD" w:rsidP="00A86AB7">
      <w:pPr>
        <w:pStyle w:val="ListParagraph"/>
        <w:numPr>
          <w:ilvl w:val="0"/>
          <w:numId w:val="3"/>
        </w:numPr>
      </w:pPr>
      <w:r>
        <w:t xml:space="preserve">The DSO understands </w:t>
      </w:r>
      <w:r w:rsidR="00FA0D36">
        <w:t xml:space="preserve">the considerable </w:t>
      </w:r>
      <w:r w:rsidR="0075357E">
        <w:t xml:space="preserve">pressures </w:t>
      </w:r>
      <w:r>
        <w:t xml:space="preserve">on the funding available to the </w:t>
      </w:r>
      <w:r w:rsidR="007478C8">
        <w:t xml:space="preserve">DCC’s </w:t>
      </w:r>
      <w:r>
        <w:t xml:space="preserve">Grants Sub-Committee. </w:t>
      </w:r>
    </w:p>
    <w:p w14:paraId="2B5FBA60" w14:textId="77777777" w:rsidR="00FA0D36" w:rsidRDefault="00FA0D36" w:rsidP="00A86AB7">
      <w:pPr>
        <w:pStyle w:val="ListParagraph"/>
        <w:numPr>
          <w:ilvl w:val="0"/>
          <w:numId w:val="3"/>
        </w:numPr>
      </w:pPr>
      <w:r>
        <w:t>As the DSO can be considered essential to the musical vitality of the city, the DSO submits that the DCC could justify a separate funding pool for the DSO.  If this is not possible, then an increase to the relevant funding pool is proposed.</w:t>
      </w:r>
    </w:p>
    <w:p w14:paraId="5DA79099" w14:textId="77777777" w:rsidR="00A86AB7" w:rsidRDefault="00A86AB7" w:rsidP="00A86AB7"/>
    <w:p w14:paraId="74108135" w14:textId="4E56E9B2" w:rsidR="00A86AB7" w:rsidRDefault="00425DDE" w:rsidP="00A86AB7">
      <w:r>
        <w:rPr>
          <w:b/>
          <w:bCs/>
        </w:rPr>
        <w:t>Town Hall Hire</w:t>
      </w:r>
    </w:p>
    <w:p w14:paraId="6060108C" w14:textId="77777777" w:rsidR="007478C8" w:rsidRPr="007478C8" w:rsidRDefault="007478C8" w:rsidP="00A86AB7"/>
    <w:p w14:paraId="080E3AFB" w14:textId="44548E36" w:rsidR="00A86AB7" w:rsidRDefault="00A86AB7" w:rsidP="007478C8">
      <w:pPr>
        <w:pStyle w:val="ListParagraph"/>
        <w:numPr>
          <w:ilvl w:val="0"/>
          <w:numId w:val="3"/>
        </w:numPr>
      </w:pPr>
      <w:r>
        <w:t>The table above illustrates the challenge the DSO faces regarding affordability of the Town Hall.</w:t>
      </w:r>
    </w:p>
    <w:p w14:paraId="26F47CE8" w14:textId="4395ECBE" w:rsidR="0075357E" w:rsidRDefault="0075357E" w:rsidP="007478C8">
      <w:pPr>
        <w:pStyle w:val="ListParagraph"/>
        <w:numPr>
          <w:ilvl w:val="0"/>
          <w:numId w:val="3"/>
        </w:numPr>
      </w:pPr>
      <w:r>
        <w:t xml:space="preserve">It should be noted that the Town Hall is the only </w:t>
      </w:r>
      <w:r w:rsidR="00FA0D36">
        <w:t xml:space="preserve">acoustically </w:t>
      </w:r>
      <w:r>
        <w:t>appropriate venue in Dunedin for the DSO’s larger concerts (such as the recent Beatles music one)</w:t>
      </w:r>
      <w:r w:rsidR="00FA0D36">
        <w:t>, so the DSO has no choice of venue.</w:t>
      </w:r>
    </w:p>
    <w:p w14:paraId="399C5177" w14:textId="32D50D70" w:rsidR="000608A4" w:rsidRDefault="00FA0D36" w:rsidP="00FA0D36">
      <w:pPr>
        <w:pStyle w:val="ListParagraph"/>
        <w:numPr>
          <w:ilvl w:val="0"/>
          <w:numId w:val="3"/>
        </w:numPr>
      </w:pPr>
      <w:r>
        <w:t>Because the Community Access Grant is not guaranteed, and t</w:t>
      </w:r>
      <w:r w:rsidR="000608A4">
        <w:t>o be prudent and realistic, the DSO budget</w:t>
      </w:r>
      <w:r>
        <w:t>s</w:t>
      </w:r>
      <w:r w:rsidR="000608A4">
        <w:t xml:space="preserve"> on $70,000 annually for the hire of the Town Hall</w:t>
      </w:r>
      <w:r w:rsidR="007478C8">
        <w:t>.</w:t>
      </w:r>
    </w:p>
    <w:p w14:paraId="3461B969" w14:textId="624D36BE" w:rsidR="00495AF7" w:rsidRDefault="00B425BA" w:rsidP="007478C8">
      <w:pPr>
        <w:pStyle w:val="ListParagraph"/>
        <w:numPr>
          <w:ilvl w:val="0"/>
          <w:numId w:val="3"/>
        </w:numPr>
      </w:pPr>
      <w:r>
        <w:t>The DSO understands that DVML has been charged with maximising income.  However, as shown above, it is at considerable cost to the very community organisations the DCC wishes to support.  It should be noted that many community organisations are no longer able to afford the Dunedin Centre venues.</w:t>
      </w:r>
    </w:p>
    <w:p w14:paraId="28561A84" w14:textId="16C02140" w:rsidR="00B425BA" w:rsidRDefault="00B425BA" w:rsidP="00B425BA">
      <w:pPr>
        <w:ind w:left="360"/>
      </w:pPr>
    </w:p>
    <w:p w14:paraId="3E3CB88C" w14:textId="6A1ADFA4" w:rsidR="00B425BA" w:rsidRDefault="00B425BA" w:rsidP="00B425BA">
      <w:pPr>
        <w:ind w:left="360"/>
      </w:pPr>
      <w:r>
        <w:rPr>
          <w:b/>
          <w:bCs/>
        </w:rPr>
        <w:t>Summary</w:t>
      </w:r>
      <w:r w:rsidR="00425DDE">
        <w:rPr>
          <w:b/>
          <w:bCs/>
        </w:rPr>
        <w:t xml:space="preserve"> re Civic Grant and </w:t>
      </w:r>
      <w:r w:rsidR="007478C8">
        <w:rPr>
          <w:b/>
          <w:bCs/>
        </w:rPr>
        <w:t>Town Hall Hire</w:t>
      </w:r>
    </w:p>
    <w:p w14:paraId="3A5F47D0" w14:textId="1113FF46" w:rsidR="00B425BA" w:rsidRDefault="00B425BA" w:rsidP="007478C8">
      <w:pPr>
        <w:pStyle w:val="ListParagraph"/>
        <w:numPr>
          <w:ilvl w:val="0"/>
          <w:numId w:val="3"/>
        </w:numPr>
      </w:pPr>
      <w:r>
        <w:t>The DSO strongly urges the DCC to consider amendments to:</w:t>
      </w:r>
    </w:p>
    <w:p w14:paraId="1C343FB9" w14:textId="61B4B261" w:rsidR="00B425BA" w:rsidRDefault="00B425BA" w:rsidP="007478C8">
      <w:pPr>
        <w:pStyle w:val="ListParagraph"/>
        <w:numPr>
          <w:ilvl w:val="1"/>
          <w:numId w:val="3"/>
        </w:numPr>
      </w:pPr>
      <w:r>
        <w:t xml:space="preserve">The funding and the funding mechanisms for major </w:t>
      </w:r>
      <w:r w:rsidR="007478C8">
        <w:t xml:space="preserve">civic </w:t>
      </w:r>
      <w:r>
        <w:t>cultural institutions such as the DSO.</w:t>
      </w:r>
    </w:p>
    <w:p w14:paraId="3F360A1A" w14:textId="08E2DB89" w:rsidR="00B425BA" w:rsidRDefault="00B425BA" w:rsidP="007478C8">
      <w:pPr>
        <w:pStyle w:val="ListParagraph"/>
        <w:numPr>
          <w:ilvl w:val="1"/>
          <w:numId w:val="3"/>
        </w:numPr>
      </w:pPr>
      <w:r>
        <w:t>The booking process and cost structure for community organisations for the Dunedin Centre</w:t>
      </w:r>
      <w:r w:rsidR="002D30B5">
        <w:t xml:space="preserve"> so that rates are affordable and guaranteed.</w:t>
      </w:r>
    </w:p>
    <w:p w14:paraId="0BEF8FD4" w14:textId="77777777" w:rsidR="00B425BA" w:rsidRPr="00B425BA" w:rsidRDefault="00B425BA" w:rsidP="00B425BA">
      <w:pPr>
        <w:pStyle w:val="ListParagraph"/>
        <w:ind w:left="0"/>
      </w:pPr>
    </w:p>
    <w:p w14:paraId="003E5482" w14:textId="020CD75D" w:rsidR="002D30B5" w:rsidRDefault="002D30B5">
      <w:r>
        <w:br w:type="page"/>
      </w:r>
    </w:p>
    <w:p w14:paraId="41AEADED" w14:textId="77777777" w:rsidR="00495AF7" w:rsidRPr="00495AF7" w:rsidRDefault="00495AF7" w:rsidP="006C1BA6"/>
    <w:p w14:paraId="1C16A6C9" w14:textId="0F72A671" w:rsidR="00495AF7" w:rsidRPr="00425DDE" w:rsidRDefault="00425DDE" w:rsidP="006C1BA6">
      <w:pPr>
        <w:rPr>
          <w:sz w:val="24"/>
          <w:szCs w:val="24"/>
        </w:rPr>
      </w:pPr>
      <w:r w:rsidRPr="00425DDE">
        <w:rPr>
          <w:b/>
          <w:bCs/>
          <w:sz w:val="24"/>
          <w:szCs w:val="24"/>
        </w:rPr>
        <w:t xml:space="preserve">Section 2:  </w:t>
      </w:r>
      <w:r w:rsidR="00B425BA" w:rsidRPr="00425DDE">
        <w:rPr>
          <w:b/>
          <w:bCs/>
          <w:sz w:val="24"/>
          <w:szCs w:val="24"/>
        </w:rPr>
        <w:t>Performing Arts Venue</w:t>
      </w:r>
    </w:p>
    <w:p w14:paraId="14031EBA" w14:textId="77777777" w:rsidR="00425DDE" w:rsidRDefault="00425DDE" w:rsidP="00425DDE"/>
    <w:p w14:paraId="0105C9CE" w14:textId="14FBC64C" w:rsidR="00B425BA" w:rsidRDefault="00B425BA" w:rsidP="007478C8">
      <w:pPr>
        <w:pStyle w:val="ListParagraph"/>
        <w:numPr>
          <w:ilvl w:val="0"/>
          <w:numId w:val="3"/>
        </w:numPr>
      </w:pPr>
      <w:r>
        <w:t xml:space="preserve">The DSO </w:t>
      </w:r>
      <w:r w:rsidR="00425DDE">
        <w:t xml:space="preserve">shares the concern of many </w:t>
      </w:r>
      <w:r>
        <w:t xml:space="preserve">that there is no medium-sized </w:t>
      </w:r>
      <w:r w:rsidR="002D30B5">
        <w:t xml:space="preserve">performance venue in the city </w:t>
      </w:r>
      <w:r w:rsidR="00425DDE">
        <w:t>for acoustic (non-amplified) music organisations and musicians.</w:t>
      </w:r>
    </w:p>
    <w:p w14:paraId="3C310AEE" w14:textId="0F4F3552" w:rsidR="00B425BA" w:rsidRDefault="00425DDE" w:rsidP="00CC2822">
      <w:pPr>
        <w:pStyle w:val="ListParagraph"/>
        <w:numPr>
          <w:ilvl w:val="0"/>
          <w:numId w:val="3"/>
        </w:numPr>
      </w:pPr>
      <w:r>
        <w:t>The DSO</w:t>
      </w:r>
      <w:r w:rsidR="00B425BA">
        <w:t xml:space="preserve"> therefore welcomed the Charcoal Blue study</w:t>
      </w:r>
      <w:r w:rsidR="002D30B5">
        <w:t>.  As an arts organisation essential for the musical cultural vitality of the city, t</w:t>
      </w:r>
      <w:r w:rsidR="00B425BA">
        <w:t xml:space="preserve">he DSO would be </w:t>
      </w:r>
      <w:r>
        <w:t>very happy to be involved in further consultations so as to ensure the very many acoustic (non-amplified) music organisations and musicians in Dunedin have an appropriate venue for their performances.  This would ultimately benefit Dunedin’s vibrant and diverse arts and culture scene.</w:t>
      </w:r>
    </w:p>
    <w:p w14:paraId="600D3645" w14:textId="77777777" w:rsidR="00425DDE" w:rsidRDefault="00425DDE" w:rsidP="00425DDE"/>
    <w:p w14:paraId="7107449F" w14:textId="5DE90A90" w:rsidR="00425DDE" w:rsidRDefault="00425DDE" w:rsidP="00425DDE">
      <w:r>
        <w:t>We again thank the DCC for its support of the DSO, and for the opportunity to make this submission.</w:t>
      </w:r>
    </w:p>
    <w:p w14:paraId="51911659" w14:textId="77777777" w:rsidR="00425DDE" w:rsidRDefault="00425DDE" w:rsidP="00425DDE"/>
    <w:p w14:paraId="4669B3BB" w14:textId="77777777" w:rsidR="00425DDE" w:rsidRDefault="00425DDE" w:rsidP="00425DDE"/>
    <w:p w14:paraId="6020EF8A" w14:textId="77777777" w:rsidR="00425DDE" w:rsidRDefault="00425DDE" w:rsidP="00425DDE">
      <w:r>
        <w:t xml:space="preserve">Contact details:  </w:t>
      </w:r>
    </w:p>
    <w:p w14:paraId="6A925C78" w14:textId="77777777" w:rsidR="00425DDE" w:rsidRDefault="00425DDE" w:rsidP="00425DDE">
      <w:r>
        <w:t xml:space="preserve">Philippa Harris, Dunedin Symphony Orchestra.  Email:  </w:t>
      </w:r>
      <w:hyperlink r:id="rId7" w:history="1">
        <w:r w:rsidRPr="003B0933">
          <w:rPr>
            <w:rStyle w:val="Hyperlink"/>
          </w:rPr>
          <w:t>manager@dso.org.nz</w:t>
        </w:r>
      </w:hyperlink>
      <w:r>
        <w:t>.  Phone:  477 5623.</w:t>
      </w:r>
    </w:p>
    <w:p w14:paraId="20610E2E" w14:textId="77777777" w:rsidR="00425DDE" w:rsidRDefault="00425DDE" w:rsidP="00425DDE"/>
    <w:p w14:paraId="50E3441F" w14:textId="446AA8BA" w:rsidR="00495AF7" w:rsidRPr="00495AF7" w:rsidRDefault="00425DDE" w:rsidP="006C1BA6">
      <w:r>
        <w:t>ENDS</w:t>
      </w:r>
    </w:p>
    <w:sectPr w:rsidR="00495AF7" w:rsidRPr="00495AF7" w:rsidSect="00962126">
      <w:headerReference w:type="default" r:id="rId8"/>
      <w:footerReference w:type="default" r:id="rId9"/>
      <w:headerReference w:type="first" r:id="rId10"/>
      <w:pgSz w:w="11906" w:h="16838"/>
      <w:pgMar w:top="156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C260" w14:textId="77777777" w:rsidR="001B6BF2" w:rsidRDefault="001B6BF2" w:rsidP="001B6BF2">
      <w:r>
        <w:separator/>
      </w:r>
    </w:p>
  </w:endnote>
  <w:endnote w:type="continuationSeparator" w:id="0">
    <w:p w14:paraId="06EBBFA4" w14:textId="77777777" w:rsidR="001B6BF2" w:rsidRDefault="001B6BF2" w:rsidP="001B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64315"/>
      <w:docPartObj>
        <w:docPartGallery w:val="Page Numbers (Bottom of Page)"/>
        <w:docPartUnique/>
      </w:docPartObj>
    </w:sdtPr>
    <w:sdtEndPr>
      <w:rPr>
        <w:noProof/>
      </w:rPr>
    </w:sdtEndPr>
    <w:sdtContent>
      <w:p w14:paraId="03A54BAF" w14:textId="180691BA" w:rsidR="0004503C" w:rsidRDefault="000450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849ED" w14:textId="77777777" w:rsidR="001B6BF2" w:rsidRDefault="001B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8314" w14:textId="77777777" w:rsidR="001B6BF2" w:rsidRDefault="001B6BF2" w:rsidP="001B6BF2">
      <w:r>
        <w:separator/>
      </w:r>
    </w:p>
  </w:footnote>
  <w:footnote w:type="continuationSeparator" w:id="0">
    <w:p w14:paraId="3EDB0D24" w14:textId="77777777" w:rsidR="001B6BF2" w:rsidRDefault="001B6BF2" w:rsidP="001B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CEDB" w14:textId="711C5053" w:rsidR="00F240E8" w:rsidRPr="00F240E8" w:rsidRDefault="00F240E8" w:rsidP="00F240E8">
    <w:pPr>
      <w:pStyle w:val="Header"/>
    </w:pPr>
    <w:r>
      <w:ptab w:relativeTo="margin" w:alignment="center" w:leader="none"/>
    </w:r>
    <w:r w:rsidR="00962126">
      <w:rPr>
        <w:noProof/>
      </w:rPr>
      <w:drawing>
        <wp:inline distT="0" distB="0" distL="0" distR="0" wp14:anchorId="08937454" wp14:editId="398352F2">
          <wp:extent cx="1371600" cy="67090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918" cy="6960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D439" w14:textId="0101D19D" w:rsidR="00962126" w:rsidRDefault="00962126">
    <w:pPr>
      <w:pStyle w:val="Header"/>
    </w:pPr>
    <w:r>
      <w:rPr>
        <w:noProof/>
      </w:rPr>
      <w:drawing>
        <wp:inline distT="0" distB="0" distL="0" distR="0" wp14:anchorId="3DD31C46" wp14:editId="66F071A9">
          <wp:extent cx="1596773" cy="781050"/>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581" cy="794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354A"/>
    <w:multiLevelType w:val="hybridMultilevel"/>
    <w:tmpl w:val="12F6C100"/>
    <w:lvl w:ilvl="0" w:tplc="7EC0347E">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6143A5C"/>
    <w:multiLevelType w:val="hybridMultilevel"/>
    <w:tmpl w:val="6F103FC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BD9769A"/>
    <w:multiLevelType w:val="hybridMultilevel"/>
    <w:tmpl w:val="C0F28204"/>
    <w:lvl w:ilvl="0" w:tplc="A0C89AE4">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F45550D"/>
    <w:multiLevelType w:val="hybridMultilevel"/>
    <w:tmpl w:val="B1E071DC"/>
    <w:lvl w:ilvl="0" w:tplc="6B5ABD74">
      <w:numFmt w:val="bullet"/>
      <w:lvlText w:val="-"/>
      <w:lvlJc w:val="left"/>
      <w:pPr>
        <w:ind w:left="720" w:hanging="360"/>
      </w:pPr>
      <w:rPr>
        <w:rFonts w:ascii="Cambria" w:eastAsiaTheme="majorEastAsia" w:hAnsi="Cambria"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11140757">
    <w:abstractNumId w:val="0"/>
  </w:num>
  <w:num w:numId="2" w16cid:durableId="347758581">
    <w:abstractNumId w:val="3"/>
  </w:num>
  <w:num w:numId="3" w16cid:durableId="1288705666">
    <w:abstractNumId w:val="1"/>
  </w:num>
  <w:num w:numId="4" w16cid:durableId="1365907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A6"/>
    <w:rsid w:val="0004503C"/>
    <w:rsid w:val="000608A4"/>
    <w:rsid w:val="000A2CBF"/>
    <w:rsid w:val="001B6BF2"/>
    <w:rsid w:val="002B3736"/>
    <w:rsid w:val="002D30B5"/>
    <w:rsid w:val="002F0A6A"/>
    <w:rsid w:val="00307F33"/>
    <w:rsid w:val="00352CDF"/>
    <w:rsid w:val="00362EBA"/>
    <w:rsid w:val="00386ABF"/>
    <w:rsid w:val="00425DDE"/>
    <w:rsid w:val="00471E2B"/>
    <w:rsid w:val="00482722"/>
    <w:rsid w:val="00495AF7"/>
    <w:rsid w:val="004E1610"/>
    <w:rsid w:val="005201EC"/>
    <w:rsid w:val="005344B7"/>
    <w:rsid w:val="005904B4"/>
    <w:rsid w:val="005B495B"/>
    <w:rsid w:val="005F5409"/>
    <w:rsid w:val="0068567C"/>
    <w:rsid w:val="006C1BA6"/>
    <w:rsid w:val="00715D56"/>
    <w:rsid w:val="00715F4D"/>
    <w:rsid w:val="007174DA"/>
    <w:rsid w:val="007478C8"/>
    <w:rsid w:val="00750B02"/>
    <w:rsid w:val="0075230D"/>
    <w:rsid w:val="0075357E"/>
    <w:rsid w:val="00763699"/>
    <w:rsid w:val="00946936"/>
    <w:rsid w:val="00962126"/>
    <w:rsid w:val="00A01094"/>
    <w:rsid w:val="00A3152F"/>
    <w:rsid w:val="00A86AB7"/>
    <w:rsid w:val="00AA65DD"/>
    <w:rsid w:val="00AB6CA0"/>
    <w:rsid w:val="00AD3844"/>
    <w:rsid w:val="00AE06F1"/>
    <w:rsid w:val="00AE13B0"/>
    <w:rsid w:val="00B25597"/>
    <w:rsid w:val="00B425BA"/>
    <w:rsid w:val="00B907FE"/>
    <w:rsid w:val="00C43AD9"/>
    <w:rsid w:val="00C90122"/>
    <w:rsid w:val="00CA169F"/>
    <w:rsid w:val="00CB0403"/>
    <w:rsid w:val="00CB280D"/>
    <w:rsid w:val="00CE773D"/>
    <w:rsid w:val="00EA6782"/>
    <w:rsid w:val="00F240E8"/>
    <w:rsid w:val="00F44320"/>
    <w:rsid w:val="00FA0D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EBADB1"/>
  <w15:docId w15:val="{A9BDDD62-1F91-438B-A037-C701BEFA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B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37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B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1BA6"/>
    <w:pPr>
      <w:ind w:left="720"/>
      <w:contextualSpacing/>
    </w:pPr>
  </w:style>
  <w:style w:type="character" w:styleId="CommentReference">
    <w:name w:val="annotation reference"/>
    <w:basedOn w:val="DefaultParagraphFont"/>
    <w:uiPriority w:val="99"/>
    <w:semiHidden/>
    <w:unhideWhenUsed/>
    <w:rsid w:val="005B495B"/>
    <w:rPr>
      <w:sz w:val="16"/>
      <w:szCs w:val="16"/>
    </w:rPr>
  </w:style>
  <w:style w:type="paragraph" w:styleId="CommentText">
    <w:name w:val="annotation text"/>
    <w:basedOn w:val="Normal"/>
    <w:link w:val="CommentTextChar"/>
    <w:uiPriority w:val="99"/>
    <w:semiHidden/>
    <w:unhideWhenUsed/>
    <w:rsid w:val="005B495B"/>
    <w:rPr>
      <w:sz w:val="20"/>
      <w:szCs w:val="20"/>
    </w:rPr>
  </w:style>
  <w:style w:type="character" w:customStyle="1" w:styleId="CommentTextChar">
    <w:name w:val="Comment Text Char"/>
    <w:basedOn w:val="DefaultParagraphFont"/>
    <w:link w:val="CommentText"/>
    <w:uiPriority w:val="99"/>
    <w:semiHidden/>
    <w:rsid w:val="005B495B"/>
    <w:rPr>
      <w:sz w:val="20"/>
      <w:szCs w:val="20"/>
    </w:rPr>
  </w:style>
  <w:style w:type="paragraph" w:styleId="CommentSubject">
    <w:name w:val="annotation subject"/>
    <w:basedOn w:val="CommentText"/>
    <w:next w:val="CommentText"/>
    <w:link w:val="CommentSubjectChar"/>
    <w:uiPriority w:val="99"/>
    <w:semiHidden/>
    <w:unhideWhenUsed/>
    <w:rsid w:val="005B495B"/>
    <w:rPr>
      <w:b/>
      <w:bCs/>
    </w:rPr>
  </w:style>
  <w:style w:type="character" w:customStyle="1" w:styleId="CommentSubjectChar">
    <w:name w:val="Comment Subject Char"/>
    <w:basedOn w:val="CommentTextChar"/>
    <w:link w:val="CommentSubject"/>
    <w:uiPriority w:val="99"/>
    <w:semiHidden/>
    <w:rsid w:val="005B495B"/>
    <w:rPr>
      <w:b/>
      <w:bCs/>
      <w:sz w:val="20"/>
      <w:szCs w:val="20"/>
    </w:rPr>
  </w:style>
  <w:style w:type="character" w:styleId="Hyperlink">
    <w:name w:val="Hyperlink"/>
    <w:basedOn w:val="DefaultParagraphFont"/>
    <w:uiPriority w:val="99"/>
    <w:unhideWhenUsed/>
    <w:rsid w:val="002B3736"/>
    <w:rPr>
      <w:color w:val="0000FF" w:themeColor="hyperlink"/>
      <w:u w:val="single"/>
    </w:rPr>
  </w:style>
  <w:style w:type="character" w:styleId="UnresolvedMention">
    <w:name w:val="Unresolved Mention"/>
    <w:basedOn w:val="DefaultParagraphFont"/>
    <w:uiPriority w:val="99"/>
    <w:semiHidden/>
    <w:unhideWhenUsed/>
    <w:rsid w:val="002B3736"/>
    <w:rPr>
      <w:color w:val="605E5C"/>
      <w:shd w:val="clear" w:color="auto" w:fill="E1DFDD"/>
    </w:rPr>
  </w:style>
  <w:style w:type="character" w:customStyle="1" w:styleId="Heading2Char">
    <w:name w:val="Heading 2 Char"/>
    <w:basedOn w:val="DefaultParagraphFont"/>
    <w:link w:val="Heading2"/>
    <w:uiPriority w:val="9"/>
    <w:rsid w:val="002B3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B3736"/>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B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BF2"/>
    <w:pPr>
      <w:tabs>
        <w:tab w:val="center" w:pos="4513"/>
        <w:tab w:val="right" w:pos="9026"/>
      </w:tabs>
    </w:pPr>
  </w:style>
  <w:style w:type="character" w:customStyle="1" w:styleId="HeaderChar">
    <w:name w:val="Header Char"/>
    <w:basedOn w:val="DefaultParagraphFont"/>
    <w:link w:val="Header"/>
    <w:uiPriority w:val="99"/>
    <w:rsid w:val="001B6BF2"/>
  </w:style>
  <w:style w:type="paragraph" w:styleId="Footer">
    <w:name w:val="footer"/>
    <w:basedOn w:val="Normal"/>
    <w:link w:val="FooterChar"/>
    <w:uiPriority w:val="99"/>
    <w:unhideWhenUsed/>
    <w:rsid w:val="001B6BF2"/>
    <w:pPr>
      <w:tabs>
        <w:tab w:val="center" w:pos="4513"/>
        <w:tab w:val="right" w:pos="9026"/>
      </w:tabs>
    </w:pPr>
  </w:style>
  <w:style w:type="character" w:customStyle="1" w:styleId="FooterChar">
    <w:name w:val="Footer Char"/>
    <w:basedOn w:val="DefaultParagraphFont"/>
    <w:link w:val="Footer"/>
    <w:uiPriority w:val="99"/>
    <w:rsid w:val="001B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dso.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 Harris</dc:creator>
  <cp:lastModifiedBy>Philippa Harris</cp:lastModifiedBy>
  <cp:revision>2</cp:revision>
  <cp:lastPrinted>2021-04-28T22:23:00Z</cp:lastPrinted>
  <dcterms:created xsi:type="dcterms:W3CDTF">2023-04-20T23:54:00Z</dcterms:created>
  <dcterms:modified xsi:type="dcterms:W3CDTF">2023-04-20T23:54:00Z</dcterms:modified>
</cp:coreProperties>
</file>